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23 399 / 153 vom 11. Juli 2024</w:t>
      </w:r>
    </w:p>
    <w:p>
      <w:r>
        <w:t>BL Gerichte, 2024-07-11, DE</w:t>
      </w:r>
    </w:p>
    <w:p>
      <w:r>
        <w:rPr>
          <w:b/>
        </w:rPr>
        <w:t xml:space="preserve">Quelle: </w:t>
      </w:r>
      <w:r>
        <w:t>https://mcp.opencaselaw.ch/entscheid/bl_gerichte_720 23 399 _ 153</w:t>
      </w:r>
    </w:p>
    <w:p>
      <w:r>
        <w:t>FR: BL_GERICHTE 720 23 399 / 153 du 11 juillet 2024</w:t>
      </w:r>
    </w:p>
    <w:p>
      <w:r>
        <w:t>IT: BL_GERICHTE 720 23 399 / 153 del 11 luglio 2024</w:t>
      </w:r>
    </w:p>
    <w:p>
      <w:pPr>
        <w:pStyle w:val="Heading2"/>
      </w:pPr>
      <w:r>
        <w:t>Regeste</w:t>
      </w:r>
    </w:p>
    <w:p>
      <w:r>
        <w:t>Das von der IV-Stelle zur Klärung des medizinischen Sachverhalts und der Leistungsfähigkeit eingeholte externe Gutachten ist beweiskräftig, weshalb bei der Prüfung des Leistungsanspruchs des Versicherten darauf abgestellt werden durfte.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 Gutheissung der Beschwerde wird die Verfügung der IV-Stelle Basel-Landschaft vom 20. November 2023 aufgehoben und die Angelegenheit wird zur weiteren Abklärung im Sinne der Erwägungen und zum Erlass einer neuen Verfügung an die Beschwerdegegnerin zurückgewiesen.</w:t>
      </w:r>
    </w:p>
    <w:p>
      <w:r>
        <w:rPr>
          <w:b/>
        </w:rPr>
        <w:t>E. 2</w:t>
      </w:r>
    </w:p>
    <w:p>
      <w:r>
        <w:t>Die Verfahrenskosten in der Höhe von Fr. 800.-- werden der Beschwerdegegnerin auferlegt. Dem Beschwerdeführer wird der geleistete Kostenvorschuss in Höhe von Fr. 800.-- zurückerstattet.</w:t>
      </w:r>
    </w:p>
    <w:p>
      <w:r>
        <w:rPr>
          <w:b/>
        </w:rPr>
        <w:t>E. 3</w:t>
      </w:r>
    </w:p>
    <w:p>
      <w:r>
        <w:t>Die IV-Stelle Basel-Landschaft hat dem Beschwerdeführer eine Parteientschädigung in der Höhe von Fr. 3'816.70 (inkl. Auslagen und 7,7 % Mehrwertsteuer bzw. 8,1 % Mehrwertsteuer)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